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6C" w:rsidRPr="0094146C" w:rsidRDefault="0094146C" w:rsidP="009414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6C" w:rsidRPr="0094146C" w:rsidRDefault="0094146C" w:rsidP="009414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работе муниципальной методической службы МО «</w:t>
      </w:r>
      <w:proofErr w:type="spellStart"/>
      <w:r w:rsidRPr="0094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Чемальский</w:t>
      </w:r>
      <w:proofErr w:type="spellEnd"/>
      <w:r w:rsidRPr="0094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на 01.12. 2012 г.</w:t>
      </w:r>
    </w:p>
    <w:p w:rsidR="0094146C" w:rsidRPr="0094146C" w:rsidRDefault="0094146C" w:rsidP="009414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414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4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Цифровая информация.</w:t>
      </w: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11490"/>
        <w:gridCol w:w="2968"/>
      </w:tblGrid>
      <w:tr w:rsidR="0094146C" w:rsidRPr="0094146C" w:rsidTr="004F1FF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pPr>
              <w:ind w:right="-154"/>
            </w:pPr>
            <w:r w:rsidRPr="00BD7357">
              <w:t xml:space="preserve">  1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pPr>
              <w:ind w:right="-154"/>
            </w:pPr>
            <w:r w:rsidRPr="00BD7357">
              <w:t xml:space="preserve"> Количество  педагогических  работников в МО.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r w:rsidRPr="00BD7357">
              <w:t>250</w:t>
            </w:r>
          </w:p>
        </w:tc>
      </w:tr>
      <w:tr w:rsidR="0094146C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pPr>
              <w:jc w:val="center"/>
            </w:pPr>
            <w:r w:rsidRPr="00BD7357">
              <w:t>2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r w:rsidRPr="00BD7357">
              <w:t>Средний возраст педагогов МО.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r w:rsidRPr="00BD7357">
              <w:t>39-41</w:t>
            </w:r>
          </w:p>
        </w:tc>
      </w:tr>
      <w:tr w:rsidR="0094146C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pPr>
              <w:jc w:val="center"/>
            </w:pPr>
            <w:r w:rsidRPr="00BD7357">
              <w:t>3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r w:rsidRPr="00BD7357">
              <w:t>Количество молодых   специалистов-педагогов в МО, доля от общего    количества педагогов МО.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pPr>
              <w:jc w:val="both"/>
            </w:pPr>
            <w:r w:rsidRPr="00BD7357">
              <w:t>14 (5,6%)</w:t>
            </w:r>
          </w:p>
        </w:tc>
      </w:tr>
      <w:tr w:rsidR="0094146C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pPr>
              <w:jc w:val="center"/>
            </w:pPr>
            <w:r w:rsidRPr="00BD7357">
              <w:t>4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94146C" w:rsidP="0094146C">
            <w:r w:rsidRPr="00BD7357">
              <w:t>Количество прошедших повышение квалификации (ПК) педагогов, руководителей, методистов, специалистов МОУО, доля от общего количества педагогов МО.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6C" w:rsidRPr="00BD7357" w:rsidRDefault="000450D3" w:rsidP="000450D3">
            <w:r w:rsidRPr="00BD7357">
              <w:t xml:space="preserve">64 </w:t>
            </w:r>
            <w:r w:rsidR="0094146C" w:rsidRPr="00BD7357">
              <w:t>(2</w:t>
            </w:r>
            <w:r w:rsidRPr="00BD7357">
              <w:t>5</w:t>
            </w:r>
            <w:r w:rsidR="0094146C" w:rsidRPr="00BD7357">
              <w:t>,6 %)</w:t>
            </w:r>
          </w:p>
        </w:tc>
      </w:tr>
      <w:tr w:rsidR="0087551A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94146C">
            <w:pPr>
              <w:jc w:val="center"/>
            </w:pPr>
            <w:r>
              <w:t>5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94146C">
            <w:r>
              <w:t>Прогнозные данные на будущий год по ПК педагогов</w:t>
            </w:r>
            <w:r w:rsidR="0041445D">
              <w:t>-</w:t>
            </w:r>
            <w:r w:rsidR="00527EC5">
              <w:t>89</w:t>
            </w:r>
            <w:r w:rsidR="0041445D">
              <w:t xml:space="preserve"> </w:t>
            </w:r>
            <w:r>
              <w:t>, руководителей</w:t>
            </w:r>
            <w:r w:rsidR="0041445D">
              <w:t xml:space="preserve">- </w:t>
            </w:r>
            <w:r w:rsidR="00527EC5">
              <w:t>15</w:t>
            </w:r>
            <w:r>
              <w:t>, методистов</w:t>
            </w:r>
            <w:r w:rsidR="0041445D">
              <w:t>-1</w:t>
            </w:r>
            <w:r>
              <w:t xml:space="preserve">, специалистов </w:t>
            </w:r>
            <w:r w:rsidR="0041445D">
              <w:t xml:space="preserve"> -1 </w:t>
            </w:r>
            <w:r>
              <w:t>МОУО.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527EC5" w:rsidRDefault="00527EC5" w:rsidP="000450D3">
            <w:r>
              <w:t xml:space="preserve">104 (41,6%) </w:t>
            </w:r>
            <w:r w:rsidRPr="00527EC5">
              <w:t>+2 (методист, специалист)</w:t>
            </w:r>
            <w:r>
              <w:t xml:space="preserve"> </w:t>
            </w:r>
            <w:bookmarkStart w:id="0" w:name="_GoBack"/>
            <w:bookmarkEnd w:id="0"/>
            <w:r>
              <w:t>=106</w:t>
            </w:r>
          </w:p>
        </w:tc>
      </w:tr>
      <w:tr w:rsidR="0087551A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A94D48">
            <w:pPr>
              <w:jc w:val="center"/>
            </w:pPr>
            <w:r w:rsidRPr="00BD7357">
              <w:t>6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94146C">
            <w:pPr>
              <w:jc w:val="both"/>
            </w:pPr>
            <w:r w:rsidRPr="00BD7357">
              <w:t>Количество  педагогов с высшей квалификационной категорией, доля от общего количества педагогов МО.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94146C">
            <w:r w:rsidRPr="00BD7357">
              <w:t>29 (12%)</w:t>
            </w:r>
          </w:p>
        </w:tc>
      </w:tr>
      <w:tr w:rsidR="0087551A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A94D48">
            <w:pPr>
              <w:jc w:val="center"/>
            </w:pPr>
            <w:r w:rsidRPr="00BD7357">
              <w:t>7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94146C">
            <w:r w:rsidRPr="00BD7357">
              <w:t xml:space="preserve">Количество  педагогов с первой квалификационной категорией, доля от общего количества педагогов МО. 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3A66C7">
            <w:r w:rsidRPr="00BD7357">
              <w:t>73 (29,2%)</w:t>
            </w:r>
          </w:p>
        </w:tc>
      </w:tr>
      <w:tr w:rsidR="0087551A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A94D48">
            <w:pPr>
              <w:jc w:val="center"/>
            </w:pPr>
            <w:r w:rsidRPr="00BD7357">
              <w:t>8</w:t>
            </w:r>
          </w:p>
        </w:tc>
        <w:tc>
          <w:tcPr>
            <w:tcW w:w="1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94146C">
            <w:r w:rsidRPr="00BD7357">
              <w:t>Перечень творческих групп муниципального уровня, тематика работы:</w:t>
            </w:r>
          </w:p>
          <w:p w:rsidR="0087551A" w:rsidRPr="00BD7357" w:rsidRDefault="0087551A" w:rsidP="0094146C">
            <w:r w:rsidRPr="00BD7357">
              <w:t>1.«Лидер» для директоров ООУ,  тема «Инновации в управлении школой».</w:t>
            </w:r>
          </w:p>
          <w:p w:rsidR="0087551A" w:rsidRPr="00BD7357" w:rsidRDefault="0087551A" w:rsidP="0094146C">
            <w:pPr>
              <w:ind w:right="-108"/>
            </w:pPr>
            <w:r w:rsidRPr="00BD7357">
              <w:t>2.«Методист» для заместителей директоров по УВР и УМР, тема «</w:t>
            </w:r>
            <w:r w:rsidRPr="00BD7357">
              <w:rPr>
                <w:bCs/>
              </w:rPr>
              <w:t>Системно-</w:t>
            </w:r>
            <w:proofErr w:type="spellStart"/>
            <w:r w:rsidRPr="00BD7357">
              <w:rPr>
                <w:bCs/>
              </w:rPr>
              <w:t>деятельностный</w:t>
            </w:r>
            <w:proofErr w:type="spellEnd"/>
            <w:r w:rsidRPr="00BD7357">
              <w:rPr>
                <w:bCs/>
              </w:rPr>
              <w:t xml:space="preserve"> подход в обучении как ресурс качественного образования»</w:t>
            </w:r>
            <w:r w:rsidRPr="00BD7357">
              <w:t>.</w:t>
            </w:r>
          </w:p>
          <w:p w:rsidR="0087551A" w:rsidRPr="00BD7357" w:rsidRDefault="0087551A" w:rsidP="0094146C">
            <w:r w:rsidRPr="00BD7357">
              <w:t>3.«Олимп» для  учителей - победителей ПНПО, тема «</w:t>
            </w:r>
            <w:proofErr w:type="spellStart"/>
            <w:r w:rsidRPr="00BD7357">
              <w:t>Компетентностный</w:t>
            </w:r>
            <w:proofErr w:type="spellEnd"/>
            <w:r w:rsidRPr="00BD7357">
              <w:t xml:space="preserve"> подход в образовании».</w:t>
            </w:r>
          </w:p>
          <w:p w:rsidR="0087551A" w:rsidRPr="00BD7357" w:rsidRDefault="0087551A" w:rsidP="0094146C">
            <w:r w:rsidRPr="00BD7357">
              <w:t xml:space="preserve">4. «ИДИТУ» для педагогов, тема « Интерактивная доска – инструмент творческого учителя». </w:t>
            </w:r>
          </w:p>
          <w:p w:rsidR="0087551A" w:rsidRPr="00BD7357" w:rsidRDefault="0087551A" w:rsidP="0094146C">
            <w:r w:rsidRPr="00BD7357">
              <w:t>5. «ОРКСЭ» для педагогов, которые будут преподавать  комплексный учебный предмет «Основы религиозных культур и светской этики», тема «Организационные и методические условия введения курса ОРКСЭ».</w:t>
            </w:r>
          </w:p>
        </w:tc>
      </w:tr>
      <w:tr w:rsidR="0087551A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A94D48">
            <w:pPr>
              <w:jc w:val="center"/>
            </w:pPr>
            <w:r>
              <w:t>9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EF6A39">
            <w:pPr>
              <w:jc w:val="both"/>
            </w:pPr>
            <w:r>
              <w:t>Количество уроков, посещенных методистами РМК в рамках методической помощи и плановых проверок ОУ МО за отчетный период.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EF6A39">
            <w:r>
              <w:t>3</w:t>
            </w:r>
            <w:r w:rsidR="004F1FFB">
              <w:t>0 уроков, 3 плановые проверки (</w:t>
            </w:r>
            <w:r>
              <w:t>по</w:t>
            </w:r>
            <w:proofErr w:type="gramStart"/>
            <w:r>
              <w:t>2</w:t>
            </w:r>
            <w:proofErr w:type="gramEnd"/>
            <w:r>
              <w:t xml:space="preserve"> ООУ при каждой проверке; итого:6 ООУ)</w:t>
            </w:r>
          </w:p>
        </w:tc>
      </w:tr>
      <w:tr w:rsidR="0087551A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Default="0087551A" w:rsidP="00A94D48">
            <w:pPr>
              <w:jc w:val="center"/>
            </w:pPr>
            <w:r w:rsidRPr="00BD7357">
              <w:t>10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7F3BEA">
            <w:pPr>
              <w:jc w:val="both"/>
            </w:pPr>
            <w:r w:rsidRPr="00BD7357">
              <w:t xml:space="preserve">Количество   педагогов-участников  очных профессиональных конкурсов  всех уровней (ООУ, </w:t>
            </w:r>
            <w:proofErr w:type="gramStart"/>
            <w:r w:rsidRPr="00BD7357">
              <w:t>муниципальный</w:t>
            </w:r>
            <w:proofErr w:type="gramEnd"/>
            <w:r w:rsidRPr="00BD7357">
              <w:t>, региональный, всероссийский), доля от общего количества педагогов МО. Количество призовых мест.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7F3BEA">
            <w:r w:rsidRPr="00BD7357">
              <w:t>1  (0,4 %)</w:t>
            </w:r>
          </w:p>
        </w:tc>
      </w:tr>
      <w:tr w:rsidR="0087551A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770694">
            <w:pPr>
              <w:jc w:val="center"/>
            </w:pPr>
            <w:r w:rsidRPr="00BD7357">
              <w:t>11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94146C">
            <w:pPr>
              <w:jc w:val="both"/>
            </w:pPr>
            <w:r w:rsidRPr="00BD7357">
              <w:t>Количество педагогов-участников    заочных профессиональных конкурсов по всех уровней в МО, доля от общего количества педагогов МО. Количество призовых мест.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94146C">
            <w:r w:rsidRPr="00BD7357">
              <w:t>3 (1,2 %)</w:t>
            </w:r>
          </w:p>
        </w:tc>
      </w:tr>
      <w:tr w:rsidR="0087551A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7357" w:rsidRDefault="0087551A" w:rsidP="00770694">
            <w:pPr>
              <w:jc w:val="center"/>
            </w:pPr>
            <w:r w:rsidRPr="00BD7357">
              <w:t>12</w:t>
            </w:r>
          </w:p>
        </w:tc>
        <w:tc>
          <w:tcPr>
            <w:tcW w:w="1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1A" w:rsidRPr="00BD7357" w:rsidRDefault="0087551A" w:rsidP="0094146C">
            <w:pPr>
              <w:jc w:val="both"/>
            </w:pPr>
            <w:r w:rsidRPr="00BD7357">
              <w:t>Количество педагогов-участников  конкурса ПНПО (</w:t>
            </w:r>
            <w:proofErr w:type="gramStart"/>
            <w:r w:rsidRPr="00BD7357">
              <w:t>региональный</w:t>
            </w:r>
            <w:proofErr w:type="gramEnd"/>
            <w:r w:rsidRPr="00BD7357">
              <w:t xml:space="preserve">, федеральный), доля от общего количества педагогов МО  - 7 (28%). </w:t>
            </w:r>
          </w:p>
          <w:p w:rsidR="0087551A" w:rsidRPr="00BD7357" w:rsidRDefault="0087551A" w:rsidP="00706785">
            <w:pPr>
              <w:jc w:val="both"/>
            </w:pPr>
            <w:r w:rsidRPr="00BD7357">
              <w:t xml:space="preserve">Количество </w:t>
            </w:r>
            <w:proofErr w:type="gramStart"/>
            <w:r w:rsidRPr="00BD7357">
              <w:t>призовых</w:t>
            </w:r>
            <w:proofErr w:type="gramEnd"/>
            <w:r w:rsidRPr="00BD7357">
              <w:t xml:space="preserve"> мест-2 .  Региональный уровень -1. Муниципальный уровень- 1. </w:t>
            </w:r>
          </w:p>
        </w:tc>
      </w:tr>
      <w:tr w:rsidR="004F1FFB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770694">
            <w:pPr>
              <w:jc w:val="center"/>
            </w:pPr>
            <w:r w:rsidRPr="00BD7357">
              <w:t>13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AD371D">
            <w:pPr>
              <w:jc w:val="both"/>
            </w:pPr>
            <w:r w:rsidRPr="00BD7357">
              <w:t xml:space="preserve">Количество ООУ, педагогов - участников массовых педагогических мероприятий муниципального и регионального уровня (фестивалей, ярмарок, выставок), доля от общего количества ООУ и педагогов в  МО.  Количество представленных участниками  массовых мероприятий проектов. Количество призовых мест.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AD371D">
            <w:r w:rsidRPr="00BD7357">
              <w:t>217 (87%)</w:t>
            </w:r>
          </w:p>
        </w:tc>
      </w:tr>
      <w:tr w:rsidR="004F1FFB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770694">
            <w:pPr>
              <w:jc w:val="center"/>
            </w:pPr>
            <w:r w:rsidRPr="00BD7357">
              <w:t>14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8A6647">
            <w:pPr>
              <w:jc w:val="both"/>
            </w:pPr>
            <w:r w:rsidRPr="00BD7357">
              <w:t>Количество педагогов - участников научно-практических конференций (региональных, всероссийских), доля от общего количества педагогов МО.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8A6647">
            <w:r>
              <w:t>17 (6,8</w:t>
            </w:r>
            <w:r w:rsidRPr="00BD7357">
              <w:t>%)</w:t>
            </w:r>
          </w:p>
        </w:tc>
      </w:tr>
      <w:tr w:rsidR="004F1FFB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770694">
            <w:pPr>
              <w:jc w:val="center"/>
            </w:pPr>
            <w:r w:rsidRPr="00BD7357">
              <w:t>15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CF762F">
            <w:pPr>
              <w:jc w:val="both"/>
            </w:pPr>
            <w:r w:rsidRPr="00BD7357">
              <w:t xml:space="preserve">Количество педагогов — членов  предметных ассоциаций, доля от общего количества  педагогов в  МО.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CF762F">
            <w:r w:rsidRPr="00BD7357">
              <w:t>250 (100%)</w:t>
            </w:r>
          </w:p>
        </w:tc>
      </w:tr>
      <w:tr w:rsidR="004F1FFB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770694">
            <w:pPr>
              <w:jc w:val="center"/>
            </w:pPr>
            <w:r w:rsidRPr="00BD7357">
              <w:t>16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321D99">
            <w:pPr>
              <w:jc w:val="both"/>
            </w:pPr>
            <w:r w:rsidRPr="00BD7357">
              <w:t xml:space="preserve">Количество ООУ - членов  Ассоциации инновационных школ, доля от общего количества ООУ  в  МО.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321D99">
            <w:r w:rsidRPr="00BD7357">
              <w:t>2 (17%)</w:t>
            </w:r>
          </w:p>
        </w:tc>
      </w:tr>
      <w:tr w:rsidR="004F1FFB" w:rsidRPr="0094146C" w:rsidTr="004F1FFB">
        <w:trPr>
          <w:trHeight w:hRule="exact"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770694">
            <w:pPr>
              <w:jc w:val="center"/>
            </w:pPr>
            <w:r w:rsidRPr="00BD7357">
              <w:t>17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DE115A">
            <w:pPr>
              <w:jc w:val="both"/>
            </w:pPr>
            <w:r w:rsidRPr="00BD7357">
              <w:t>Количество и наименование изданных сборников, брошюр  и другой печатной продукции.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DE115A">
            <w:r w:rsidRPr="00BD7357">
              <w:t>11 (4,4%)</w:t>
            </w:r>
          </w:p>
        </w:tc>
      </w:tr>
      <w:tr w:rsidR="004F1FFB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94146C">
            <w:pPr>
              <w:jc w:val="center"/>
            </w:pPr>
            <w:r>
              <w:t>18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927279">
            <w:pPr>
              <w:jc w:val="both"/>
            </w:pPr>
            <w:r w:rsidRPr="00BD7357">
              <w:t xml:space="preserve">Количество педагогов, опубликовавших свои работы в муниципальных, региональных и др. изданиях, доля от общего количества  педагогов в  МО.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927279">
            <w:r w:rsidRPr="00BD7357">
              <w:t>12 (4,8%)</w:t>
            </w:r>
          </w:p>
        </w:tc>
      </w:tr>
      <w:tr w:rsidR="004F1FFB" w:rsidRPr="0094146C" w:rsidTr="004F1F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94146C">
            <w:pPr>
              <w:jc w:val="center"/>
            </w:pPr>
            <w:r>
              <w:t>19</w:t>
            </w:r>
          </w:p>
        </w:tc>
        <w:tc>
          <w:tcPr>
            <w:tcW w:w="1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F1FFB" w:rsidP="0094146C">
            <w:pPr>
              <w:jc w:val="both"/>
            </w:pPr>
            <w:r>
              <w:t>Количество обучающихся ОУ МО, не получивших аттестат о среднем (полном) общем образовании в текущем году.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FB" w:rsidRPr="00BD7357" w:rsidRDefault="0041445D" w:rsidP="0094146C">
            <w:r>
              <w:t>12</w:t>
            </w:r>
          </w:p>
        </w:tc>
      </w:tr>
    </w:tbl>
    <w:p w:rsidR="0094146C" w:rsidRPr="0094146C" w:rsidRDefault="0094146C" w:rsidP="0094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46C" w:rsidRPr="0094146C">
          <w:pgSz w:w="16838" w:h="11906" w:orient="landscape"/>
          <w:pgMar w:top="567" w:right="539" w:bottom="567" w:left="851" w:header="709" w:footer="709" w:gutter="0"/>
          <w:cols w:space="720"/>
        </w:sectPr>
      </w:pPr>
    </w:p>
    <w:p w:rsidR="0094146C" w:rsidRPr="00144C8A" w:rsidRDefault="0094146C" w:rsidP="001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6C" w:rsidRPr="00144C8A" w:rsidRDefault="00F13D84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94146C"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94146C" w:rsidRPr="00144C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4146C"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 информация.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2.1.Наличие целевых программ и проектов  по совершенствованию педагогического потенциала ООУ и ММС.  Краткое описание   хода реализации.</w:t>
      </w:r>
    </w:p>
    <w:p w:rsidR="0094146C" w:rsidRPr="00144C8A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 образования администрации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разработаны Программы: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целевая программа «Развитие образования в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Чемальском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2011-2013 годы»;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системы общего образования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2012-2013 годы;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-целевой управленческий  проект «Одаренные дети МО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Чемальский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2012-2015 годы.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46C" w:rsidRPr="00144C8A" w:rsidRDefault="0094146C" w:rsidP="00706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целевая программа «Развитие образования в </w:t>
      </w:r>
      <w:proofErr w:type="spellStart"/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Чемальском</w:t>
      </w:r>
      <w:proofErr w:type="spellEnd"/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на 2011-2013 годы».</w:t>
      </w:r>
    </w:p>
    <w:p w:rsidR="0094146C" w:rsidRPr="00144C8A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утверждена  Постановлением  Главы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от  1 ноября  </w:t>
      </w:r>
      <w:smartTag w:uri="urn:schemas-microsoft-com:office:smarttags" w:element="metricconverter">
        <w:smartTagPr>
          <w:attr w:name="ProductID" w:val="2010 г"/>
        </w:smartTagPr>
        <w:r w:rsidRPr="00144C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№1066.</w:t>
      </w:r>
      <w:r w:rsidR="000F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целей  и задач </w:t>
      </w: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использованы </w:t>
      </w:r>
      <w:proofErr w:type="gram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заложенные в Программе </w:t>
      </w:r>
      <w:r w:rsidR="000F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0F1C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gram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0F1CE6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46C" w:rsidRPr="00144C8A" w:rsidRDefault="0094146C" w:rsidP="00F13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создание современных условий  для ведения образовательного процесса в образовательных учреждениях МО «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Чемальский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соответствующих требованиям, отраженным в федеральном государственном образовательном стандарте 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оформлена</w:t>
      </w:r>
      <w:r w:rsidR="00D3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для ремонта МОУ «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Эдиганская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BF0AA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04599 </w:t>
      </w:r>
      <w:r w:rsidR="00BF0AA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0AA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мягкий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3000 руб.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МОУ «</w:t>
      </w:r>
      <w:proofErr w:type="spellStart"/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Узнезинская</w:t>
      </w:r>
      <w:proofErr w:type="spellEnd"/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D37F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строительные материалы для ремонта ОУ (</w:t>
      </w:r>
      <w:proofErr w:type="spellStart"/>
      <w:r w:rsidR="00D37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Куюсская</w:t>
      </w:r>
      <w:proofErr w:type="spellEnd"/>
      <w:r w:rsidR="00D3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7FD9">
        <w:rPr>
          <w:rFonts w:ascii="Times New Roman" w:eastAsia="Times New Roman" w:hAnsi="Times New Roman" w:cs="Times New Roman"/>
          <w:sz w:val="24"/>
          <w:szCs w:val="24"/>
          <w:lang w:eastAsia="ru-RU"/>
        </w:rPr>
        <w:t>Аюлинская</w:t>
      </w:r>
      <w:proofErr w:type="spellEnd"/>
      <w:r w:rsidR="00D3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7F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емальская</w:t>
      </w:r>
      <w:proofErr w:type="spellEnd"/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д/с «Чайка») на </w:t>
      </w:r>
      <w:r w:rsidR="00D37FD9">
        <w:rPr>
          <w:rFonts w:ascii="Times New Roman" w:eastAsia="Times New Roman" w:hAnsi="Times New Roman" w:cs="Times New Roman"/>
          <w:sz w:val="24"/>
          <w:szCs w:val="24"/>
          <w:lang w:eastAsia="ru-RU"/>
        </w:rPr>
        <w:t>182750 руб.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4146C" w:rsidRPr="00144C8A" w:rsidRDefault="0094146C" w:rsidP="00F13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образовательных учреждениях осуществляется введение  инновационных образовательных программ  и использование новых результативных образовательных технологий;</w:t>
      </w:r>
    </w:p>
    <w:p w:rsidR="0094146C" w:rsidRPr="008700FF" w:rsidRDefault="0094146C" w:rsidP="00F13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стимулирования развития 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потенциала </w:t>
      </w:r>
      <w:r w:rsidR="00BF0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через совершенствование системы моральных и материальных стимулов израсходовано 66000 рублей (проведение августовской конференции, Дня Учителя, Дня Воспитателя, конкурс ПНПО «Лучший учитель </w:t>
      </w:r>
      <w:proofErr w:type="spell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педагогических чтений);</w:t>
      </w:r>
    </w:p>
    <w:p w:rsidR="0094146C" w:rsidRPr="00144C8A" w:rsidRDefault="0094146C" w:rsidP="00F13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создания условий  творческого развития</w:t>
      </w:r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</w:t>
      </w:r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приобретен стрелковый тир на   69682 руб. </w:t>
      </w:r>
      <w:r w:rsidR="00D17A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D17A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>. 12200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001A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1AD8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зрасходовано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спортивной формы.</w:t>
      </w:r>
    </w:p>
    <w:p w:rsidR="0094146C" w:rsidRPr="00144C8A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 муниципального образования «</w:t>
      </w:r>
      <w:proofErr w:type="spellStart"/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Чемальский</w:t>
      </w:r>
      <w:proofErr w:type="spellEnd"/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«Модернизация системы общего образования </w:t>
      </w:r>
      <w:proofErr w:type="spellStart"/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Чемальского</w:t>
      </w:r>
      <w:proofErr w:type="spellEnd"/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на 2012-2013 годы».</w:t>
      </w:r>
    </w:p>
    <w:p w:rsidR="0094146C" w:rsidRPr="00DE0118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Программа разработана в целях перевода муниципальной системы образования в режим устойчивого развития, обеспечивающий повышение доступности качественного образования в соответствии с современными потребностями общества. </w:t>
      </w:r>
      <w:r w:rsidR="00BF0AAB" w:rsidRP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положительной работе подтверждают и</w:t>
      </w:r>
      <w:r w:rsidRP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мониторинга реализации Программы</w:t>
      </w:r>
      <w:r w:rsidR="00DE0118" w:rsidRP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</w:t>
      </w:r>
      <w:r w:rsidR="00C21AA0" w:rsidRP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DE0118" w:rsidRP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10%)</w:t>
      </w:r>
      <w:r w:rsidRP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0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4C8A" w:rsidRDefault="00144C8A" w:rsidP="00F13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</w:t>
      </w:r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дельный вес общеобразовательных учреждений, в которых обеспечена возможность пользоваться современными столовыми – 67 % (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Эликманарская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Эдиганская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Аюлинская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Узнезинская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школы).</w:t>
      </w:r>
    </w:p>
    <w:p w:rsidR="0094146C" w:rsidRPr="00144C8A" w:rsidRDefault="00144C8A" w:rsidP="00F13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</w:t>
      </w:r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дельный вес численности </w:t>
      </w:r>
      <w:proofErr w:type="gram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обеспечена возможность пользоваться современно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борудованными спортзалами -50 %.</w:t>
      </w:r>
    </w:p>
    <w:p w:rsidR="0094146C" w:rsidRPr="00144C8A" w:rsidRDefault="00144C8A" w:rsidP="00F13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</w:t>
      </w:r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лучшилось состояние  информатизации общеобразовательных учреждений: </w:t>
      </w:r>
    </w:p>
    <w:p w:rsidR="0094146C" w:rsidRPr="00144C8A" w:rsidRDefault="0094146C" w:rsidP="00F13D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школах для обучения 1206 детей используются 2</w:t>
      </w:r>
      <w:r w:rsidR="00D0695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компьютеров, т.е. на </w:t>
      </w:r>
      <w:r w:rsidR="00D069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приходится один компьютер; </w:t>
      </w:r>
    </w:p>
    <w:p w:rsidR="0094146C" w:rsidRPr="00144C8A" w:rsidRDefault="00144C8A" w:rsidP="00F1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общеобразовательные учреждения подключены к сети Интернет, имеют сайты   и электронные адреса  (12 школ- 100%);</w:t>
      </w:r>
    </w:p>
    <w:p w:rsidR="0094146C" w:rsidRPr="00144C8A" w:rsidRDefault="0094146C" w:rsidP="00F1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- 91,7 %  школ  (кроме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Еландинской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НОШ) имеют проекторы;</w:t>
      </w:r>
    </w:p>
    <w:p w:rsidR="0094146C" w:rsidRPr="00144C8A" w:rsidRDefault="0094146C" w:rsidP="00F1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- 58,3%  школ  </w:t>
      </w:r>
      <w:proofErr w:type="gram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интерактивными досками (Чемальская-6, Чепошская-3,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Эликманарская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Узнезинская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-2, Аносинская-1, Куюсская-1);</w:t>
      </w:r>
    </w:p>
    <w:p w:rsidR="0094146C" w:rsidRPr="00144C8A" w:rsidRDefault="0094146C" w:rsidP="00F1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69% школ  организована  локальная сеть; </w:t>
      </w:r>
    </w:p>
    <w:p w:rsidR="0094146C" w:rsidRPr="00144C8A" w:rsidRDefault="0094146C" w:rsidP="00F1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- 50% школ оснащены медицинским  оборудованием (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Эликманарская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Аносинская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Куюсская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школы);</w:t>
      </w:r>
    </w:p>
    <w:p w:rsidR="0094146C" w:rsidRPr="00144C8A" w:rsidRDefault="0094146C" w:rsidP="00F1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-соответствуют  современным требованиям 33% школьных библиотек (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Эликманарская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школы);</w:t>
      </w:r>
    </w:p>
    <w:p w:rsidR="008700FF" w:rsidRDefault="0094146C" w:rsidP="00F1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-21% предметный кабинет общеобразовательных учреждений оборудован в соответствие   с современными требованиями.</w:t>
      </w:r>
      <w:r w:rsidR="008700FF"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0FF" w:rsidRPr="00144C8A" w:rsidRDefault="008700FF" w:rsidP="00F1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 образования администрации 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Чемальского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разработан целевой управленческий проект «Одаренные дети МО «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Чемальский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2012 – 2015 годы.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предусматривает решение проблем, выявленных   диагностическими методами, через создание в районе системы,  обеспечивающей объединение усилий различных социальных институтов  по выявлению, поддержке и развитию одаренных и талантливых детей, развитию образовательных услуг, удовлетворяющих интересы и потребности детей с выдающимися способностями.</w:t>
      </w:r>
      <w:proofErr w:type="gramEnd"/>
    </w:p>
    <w:p w:rsidR="008700FF" w:rsidRDefault="00BF0AAB" w:rsidP="003C1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4146C"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94146C"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proofErr w:type="spellStart"/>
      <w:r w:rsidR="0094146C"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Чемальского</w:t>
      </w:r>
      <w:proofErr w:type="spellEnd"/>
      <w:r w:rsidR="0094146C"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4F74E3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выполнять</w:t>
      </w:r>
      <w:r w:rsidR="004F74E3"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развития  ООУ,  Проекты  перспективного развития ООУ  на основе национальной образовательной инициативы «Наша новая школа» на 2011-2015 годы.  Проекты прошли экспертизу 30.03.2011 г. Эксперт - 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Кабукова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 директор МОУ «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Н.Н.Суразаковой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(приказ начальника  отдела  образования администрации </w:t>
      </w:r>
      <w:proofErr w:type="spellStart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Чемалького</w:t>
      </w:r>
      <w:proofErr w:type="spellEnd"/>
      <w:r w:rsidR="0094146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«Об  экспертной комиссии» от 03.03.2011 г. №69). Проекты утверждены приказами директоров школ</w:t>
      </w:r>
      <w:r w:rsidR="003C1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0FF" w:rsidRPr="008700FF" w:rsidRDefault="008700FF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Аносинская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 проект по развитию учительского потенциала «Современной школе - современный учитель» на 2011- 2012  учебный год.</w:t>
      </w:r>
    </w:p>
    <w:p w:rsidR="008700FF" w:rsidRPr="008700FF" w:rsidRDefault="008700FF" w:rsidP="00F13D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реализации данного проекта:</w:t>
      </w:r>
    </w:p>
    <w:p w:rsidR="008700FF" w:rsidRPr="008700FF" w:rsidRDefault="008700FF" w:rsidP="00F13D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1.Разработан и проверен  «профессиональный стандарт» деятельности учителя  школы, основанный на инновационной модели его профессионализма и на идеологии инновационного менеджмента персонала современной школы.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2.Создан инновационный портфолио «Методическая компетентность учителя», включающий разделы: «Проектирование деятельности учителя»; «Оценка современного урока»; «Мониторинг и стимулирование профессионально-творческого роста учителя».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3.Создана открытая модель методической работы на основе вариативности и доступности.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4.Сформирован информационный банк педагогического опыта.</w:t>
      </w:r>
    </w:p>
    <w:p w:rsidR="008700FF" w:rsidRPr="008700FF" w:rsidRDefault="008700FF" w:rsidP="00F13D8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5.Обеспечена системность в работе с молодыми специалистами. 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6.Усовершенствована система  материальных стимулов.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7.Развито  сетевое взаимодействие учителей на сайтах «1 сентября», «Учительский потенциал».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F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МОУ «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Бешпельтирская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имени 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Н.Н.Суразаковой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работает по реализации  Проекта перспективного развития «От школы знаний – к школе жизни». Ключевым из пяти направлений  проекта  является совершенствование учительского потенциала в школе.</w:t>
      </w:r>
    </w:p>
    <w:p w:rsidR="008700FF" w:rsidRPr="008700FF" w:rsidRDefault="008700FF" w:rsidP="00F1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Работа в этом направлении должна обеспечить  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престижа и статуса учителя,  повышения открытости образования, развития инноваций, распространение педагогического опыта. </w:t>
      </w:r>
    </w:p>
    <w:p w:rsidR="008700FF" w:rsidRPr="008700FF" w:rsidRDefault="008700FF" w:rsidP="00F1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2010 года школа  работает над проблемой « </w:t>
      </w:r>
      <w:proofErr w:type="spellStart"/>
      <w:r w:rsidRPr="008700FF">
        <w:rPr>
          <w:rFonts w:ascii="Times New Roman" w:eastAsia="+mn-ea" w:hAnsi="Times New Roman" w:cs="Times New Roman"/>
          <w:sz w:val="24"/>
          <w:szCs w:val="24"/>
          <w:lang w:eastAsia="ru-RU"/>
        </w:rPr>
        <w:t>Этно</w:t>
      </w:r>
      <w:proofErr w:type="spellEnd"/>
      <w:r w:rsidRPr="008700FF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- экологический подход к обучению и воспитанию учащихся как механизм повышения качества образования»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которой была определена методическая тема </w:t>
      </w:r>
      <w:r w:rsidRPr="008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«От компетентного учител</w:t>
      </w:r>
      <w:proofErr w:type="gramStart"/>
      <w:r w:rsidRPr="008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компетентному ученику»,  разработана программа ее реализации, нацеленная на обновление педагогической системы учителя на основе выделения сущности его опыта в области </w:t>
      </w:r>
      <w:proofErr w:type="spellStart"/>
      <w:r w:rsidRPr="008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870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  <w:r w:rsidRPr="008700FF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 xml:space="preserve"> </w:t>
      </w:r>
    </w:p>
    <w:p w:rsidR="008700FF" w:rsidRPr="008700FF" w:rsidRDefault="008700FF" w:rsidP="00C21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МОУ «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Узнезинская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целью повышения уровня профессиональной компетентности педагогического коллектива, работает над реализацией  Программы мониторинга профессиональной компетентности учителя на 2011-2015 годы. Определены цель, задачи, </w:t>
      </w:r>
      <w:proofErr w:type="gram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gramEnd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разработаны </w:t>
      </w:r>
      <w:r w:rsidRPr="00870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результативности педа</w:t>
      </w:r>
      <w:r w:rsidR="00C2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гогической деятельности учителя,</w:t>
      </w:r>
      <w:r w:rsidRPr="00870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экспертной оценки профессиональной компетентности педагога.</w:t>
      </w:r>
      <w:r w:rsid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</w:t>
      </w:r>
    </w:p>
    <w:p w:rsidR="008700FF" w:rsidRPr="008700FF" w:rsidRDefault="008700FF" w:rsidP="00F13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диагностирование педагогической деятельности коллектива позволит выстроить и проводить своевременную корректировку методической работы школы по повышению уровня профессиональной компетентности каждого учителя с учётом его индивидуальных особенностей. </w:t>
      </w:r>
    </w:p>
    <w:p w:rsidR="008700FF" w:rsidRPr="008700FF" w:rsidRDefault="00C21AA0" w:rsidP="00F13D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700FF"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педагогического коллектива будет способствовать повышению качества образования.</w:t>
      </w:r>
    </w:p>
    <w:p w:rsidR="008700FF" w:rsidRPr="008700FF" w:rsidRDefault="008700FF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Чемальская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программа развития  на  2011-2015 годы «Оптимизация образовательного процесса через внедрение инновационных педагогических технологий»,  проект «Система методической работы», Программа «Одаренные дети». Разработана и успешно реализуется Образовательная программа ресурсного центра МОУ «</w:t>
      </w:r>
      <w:proofErr w:type="spell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структурного подразделения  ИПКРО РА. Школа является базовой школой в </w:t>
      </w:r>
      <w:proofErr w:type="spell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Чемальском</w:t>
      </w:r>
      <w:proofErr w:type="spellEnd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Разработка школьных целевых программ, таких как программа экспериментальной деятельности «Комплексное использование педагогических технологий как средство повышения качества образования»,  «Здоровье», «Одаренные дети» и других поможет структурировать  подходы к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содержанию образовательной деятельности школы   и привлечь  внимание к основным проблемам, требующим первостепенного решения.</w:t>
      </w:r>
    </w:p>
    <w:p w:rsidR="008700FF" w:rsidRPr="008700FF" w:rsidRDefault="008700FF" w:rsidP="00F13D84">
      <w:pPr>
        <w:widowControl w:val="0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школе осуществляется по нескольким направлениям: работа кафедр, творческие группы, исследовательская деятельность, аттестация педагогов, участие в конкурсах, семинарах и конференциях, экспериментальная деятельность, обобщение и распространение опыта работы.</w:t>
      </w:r>
    </w:p>
    <w:p w:rsidR="008700FF" w:rsidRPr="008700FF" w:rsidRDefault="008700FF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Чепошская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Программа развития МОУ «</w:t>
      </w:r>
      <w:proofErr w:type="spell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Проект перспективного развития МОУ «</w:t>
      </w:r>
      <w:proofErr w:type="spell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основе национальной образовательной инициативы «Наша новая школа», Образовательная программа МОУ «</w:t>
      </w:r>
      <w:proofErr w:type="spell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Образовательные программы стажерских площадок и ресурсного центра.</w:t>
      </w:r>
    </w:p>
    <w:p w:rsidR="008700FF" w:rsidRPr="008700FF" w:rsidRDefault="008700FF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реализует образовательные программы среднего (полного) общего образования, систему  учебных программ по профильному обучению на старшей ступени. Эти программы  позволяют обучающимся  определиться в выборе профессии, сформировать у них  навыки самостоятельной исследовательской деятельности, подготовив их тем самым к продолжению образования в высшей школе. Два раза в год (декабрь, апрель) в школе проводится анализ качества образования в 9,10,11 классах. В апреле-мае осуществляется классно-обобщающий контроль в детском саду, в 1, 4, 5 классах.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проведения оценки результатов освоения образовательной программы используются Интернет-ресурсы, стандартизированные письменные работы, практические работы, творческие работы, ориентированные на формирование адекватной самооценки обучающегося, учет динамики результатов обучения детей относительно самих себя.</w:t>
      </w:r>
    </w:p>
    <w:p w:rsidR="008700FF" w:rsidRPr="008700FF" w:rsidRDefault="008700FF" w:rsidP="00C2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5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МОУ «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Эликманарская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Проект перспективного развития «Шаг в будущее» на  2010-2015гг. </w:t>
      </w:r>
      <w:r w:rsidRPr="00870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января 2012 года началась реализация в</w:t>
      </w:r>
      <w:r w:rsidR="00C21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торого, основного этапа проекта </w:t>
      </w:r>
      <w:r w:rsidRPr="00870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(2012 – 2014гг.).</w:t>
      </w:r>
      <w:r w:rsidR="00C2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 «Шаг в будущее»  включены четыре подпрограммы: «Воспитание», «Здоровье», «Новые образовательные технологии», «Информационно – коммуникативные технологии в образовательном процессе».  Большая часть запланированных действий, мероприятий в названных подпрограммах на данный момент,  либо находится в стадии реализации, либо уже реализована.</w:t>
      </w:r>
    </w:p>
    <w:p w:rsidR="008700FF" w:rsidRPr="008700FF" w:rsidRDefault="001F586B" w:rsidP="005A7B69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700FF"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</w:t>
      </w:r>
      <w:proofErr w:type="spellStart"/>
      <w:r w:rsidR="008700FF"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Ороктойская</w:t>
      </w:r>
      <w:proofErr w:type="spellEnd"/>
      <w:r w:rsidR="008700FF"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</w:t>
      </w:r>
      <w:r w:rsidR="008700FF"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сентября 2011 года реализуется целевой проект  «Формирование  </w:t>
      </w:r>
      <w:proofErr w:type="spellStart"/>
      <w:r w:rsidR="008700FF"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8700FF"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среды в школе»,  направленный на реализацию федеральной и региональной политики в области образования.  </w:t>
      </w:r>
    </w:p>
    <w:p w:rsidR="008700FF" w:rsidRPr="008700FF" w:rsidRDefault="008700FF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общеобразовательном учреждении «</w:t>
      </w:r>
      <w:proofErr w:type="spellStart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Усть-Семинская</w:t>
      </w:r>
      <w:proofErr w:type="spellEnd"/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начальная школа - детский сад»</w:t>
      </w: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эффективно реализуются следующие проекты: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1.«Профессиональная компетентность педагогов как условие повышения качества образования». 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2.«Становление педагога профессионала»- исследовательский проект.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3.«В XXI век - с новым качеством образования».</w:t>
      </w:r>
    </w:p>
    <w:p w:rsidR="008700FF" w:rsidRPr="008700FF" w:rsidRDefault="008700F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Образовательная программа начального и дошкольного образования. </w:t>
      </w:r>
    </w:p>
    <w:p w:rsidR="00916F1C" w:rsidRDefault="008700FF" w:rsidP="00706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программе и проекте разработаны подпрограммы и </w:t>
      </w:r>
      <w:proofErr w:type="spellStart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подпроекты</w:t>
      </w:r>
      <w:proofErr w:type="spellEnd"/>
      <w:r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их реализации. Разработаны диагностики и сроки, создаются материальные, технические, организационные и психологические условия их выполнения.</w:t>
      </w:r>
    </w:p>
    <w:p w:rsidR="005A7B69" w:rsidRPr="005C31C0" w:rsidRDefault="005A7B69" w:rsidP="00706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1C0" w:rsidRPr="005C31C0" w:rsidRDefault="005C31C0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Анализ механизма осуществления диагностики потребностей педагогов МО.</w:t>
      </w:r>
    </w:p>
    <w:p w:rsidR="005C31C0" w:rsidRPr="005C31C0" w:rsidRDefault="005C31C0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описание.</w:t>
      </w:r>
    </w:p>
    <w:p w:rsidR="005C31C0" w:rsidRPr="005C31C0" w:rsidRDefault="005C31C0" w:rsidP="00D25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 в системе образования района продолжалась работа по укреплению и совершенствованию кадрового потенциала. В общеобразовательных учреждениях района работает 250 педагогических работника.  </w:t>
      </w:r>
    </w:p>
    <w:p w:rsidR="005C31C0" w:rsidRPr="005C31C0" w:rsidRDefault="005C31C0" w:rsidP="00F13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осуществления диагностики выявленных потребностей в МО «</w:t>
      </w:r>
      <w:proofErr w:type="spellStart"/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Чемальский</w:t>
      </w:r>
      <w:proofErr w:type="spellEnd"/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осуществляется на основании тестирования, анкетирования, собеседования и приема письменных заявок на муниципальном и школьном уровне. Создается банк данных, намечаются пути удовлетворения потребностей. </w:t>
      </w:r>
    </w:p>
    <w:p w:rsidR="005C31C0" w:rsidRPr="005C31C0" w:rsidRDefault="005C31C0" w:rsidP="00F13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проведённая, за отчётный период показала:</w:t>
      </w:r>
    </w:p>
    <w:p w:rsidR="005C31C0" w:rsidRPr="005C31C0" w:rsidRDefault="005C31C0" w:rsidP="00F13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образование имеют 172 (68,8%) педагога, средне специальное образование – 69 (27,6%) чел., среднее (полное) об</w:t>
      </w:r>
      <w:r w:rsidR="00D2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образование - 9 (3,6%) чел. </w:t>
      </w:r>
      <w:r w:rsidRPr="005C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руководители общеобразовательных учреждений имеют высшее образование. Из них: 3 (25%) руководителя высшей квалификационной категории, 7 (58,3%) - первой квалификационной категории, 4 (33,3%) руководителей соответствуют занимаемой должности, Заведующая МДОУ «Детский сад «Улыбка»» не имеет квалификационной категории – 1 (8,3%)</w:t>
      </w:r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1C0" w:rsidRPr="005C31C0" w:rsidRDefault="005C31C0" w:rsidP="00F13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образовательных учреждениях прослеживается системный подход к выдвижению работников к поощрению и наградам. За отчетный период 2 педагогам присвоено почётное звание «Заслуженный учитель Республики Алтай», 1 педагогу присвоено почётное звание «Заслуженный работник физической культуры и спорта Республики Алтай». Педагогам школ района были вручены 60 почетных грамот различных уровней. (Почётная грамота Правительства РА – 7, МОН и МП РА – 3, Почётная грамота МО «</w:t>
      </w:r>
      <w:proofErr w:type="spellStart"/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Чемальский</w:t>
      </w:r>
      <w:proofErr w:type="spellEnd"/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- 29, Благодарность Главы МО «</w:t>
      </w:r>
      <w:proofErr w:type="spellStart"/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Чемальский</w:t>
      </w:r>
      <w:proofErr w:type="spellEnd"/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- 3, Почётная грамота отдела образования - 18);</w:t>
      </w:r>
    </w:p>
    <w:p w:rsidR="005C31C0" w:rsidRPr="005C31C0" w:rsidRDefault="005C31C0" w:rsidP="00F13D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учреждения, в основном, укомплектованы педагогическими кадрами. </w:t>
      </w:r>
      <w:r w:rsidRPr="005C31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 состоянию на 20 ноября 2012 года обеспеченность кадрами составляет 98,4%.</w:t>
      </w:r>
      <w:r w:rsidRPr="005C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всех образовательных учреждениях района сложились стабильные педагогические коллективы. Руководители образовательных учреждений проводят активную работу по привлечению молодых специалистов: в школах района р</w:t>
      </w:r>
      <w:r w:rsidR="005C64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аботают 14 молодых специалистов, которым </w:t>
      </w:r>
      <w:r w:rsidR="005C6471" w:rsidRPr="005C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471"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доплата в размере 50% от ставки должностного оклада.</w:t>
      </w:r>
    </w:p>
    <w:p w:rsidR="005A7B69" w:rsidRPr="0070674D" w:rsidRDefault="005C31C0" w:rsidP="00706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3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Наличие банка инновационного педагогического опыта, система его использования.</w:t>
      </w:r>
    </w:p>
    <w:p w:rsidR="0094146C" w:rsidRPr="00144C8A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РМК сформирован Банк данных по следующим инновационным направлениям: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группы, клубы;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-победители ПНПО, направление «Стимулирование отбора ОУ, активно </w:t>
      </w:r>
      <w:proofErr w:type="gram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внедряющих</w:t>
      </w:r>
      <w:proofErr w:type="gram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программы»;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-победители ПНПО, направление « Лучшие учителя»;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-ресурсные центры  ООУ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ИПКРО РА;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-стажёрские площадки ООУ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ИПКРО РА;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экспериментальная работа ООУ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-аттестация педагогов;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опыта работы педагогов;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-мониторинг участия педагогов в профессиональных конкурсах;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 инноваций.   </w:t>
      </w:r>
    </w:p>
    <w:p w:rsidR="0094146C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Продумана и корректируется система использования материалов вышеперечисленных банков при проведении семинаров, заседаний методических объединений, ресурсных центров  и стажёрских площадок ООУ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ИПКРО РА и т.д.</w:t>
      </w:r>
    </w:p>
    <w:p w:rsidR="004901D8" w:rsidRPr="00144C8A" w:rsidRDefault="004901D8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Анализ механизма сетевого взаимодействия в ММС (в том числе деятельности ресурсных центров и стажерских площадок ИПКРО РА).</w:t>
      </w:r>
    </w:p>
    <w:p w:rsidR="0094146C" w:rsidRPr="00144C8A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районе продолжается создание единой сетевой модели методической службы, которая  обеспечивает непрерывность профессионального образования педагогов и переводит общеобразовательные учреждения  в режим развития. </w:t>
      </w:r>
    </w:p>
    <w:p w:rsidR="0094146C" w:rsidRPr="00144C8A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 ММС:  методический совет РМК, РМО-13, ТГ - 4, клубы-4, ШППО -1, педагогическая гостиная -1, базовые школы – 4 (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Куюсская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школы), ресурсные центры - 3 (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школы)  и стажерские площадки - 2 (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школы), экспериментальные площадки регионального уровня (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D35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емальская</w:t>
      </w:r>
      <w:proofErr w:type="spellEnd"/>
      <w:r w:rsidR="00DD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35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="00DD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), ШМС-10, ШМО – 15, школьные творческие группы – 19, школьные кафедры - 4, ИПКРО РА,  РЦОКО.</w:t>
      </w:r>
      <w:proofErr w:type="gramEnd"/>
    </w:p>
    <w:p w:rsidR="00DD3587" w:rsidRPr="00BB2F6F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руководители ОУ  района принимают активное участие в работе вышеуказанных объединений, которые проводятся  в каникулярное время согласно утвержденному графику. </w:t>
      </w:r>
      <w:r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 6 по 8 ноября 2012 г. провели 21 заседание педагогических объединений, на которых </w:t>
      </w:r>
      <w:r w:rsidR="00DD3587"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</w:t>
      </w:r>
      <w:r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практические вопросы, вести с курсов, </w:t>
      </w:r>
      <w:r w:rsidR="00DD3587"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рассматривались вопросы об изменении системы курсовой переподготовки, проводились </w:t>
      </w:r>
      <w:r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</w:t>
      </w:r>
      <w:r w:rsidR="00DD3587"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</w:t>
      </w:r>
      <w:r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</w:t>
      </w:r>
      <w:r w:rsidR="00DD3587"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  <w:r w:rsidR="00DD3587"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46C" w:rsidRPr="00144C8A" w:rsidRDefault="0094146C" w:rsidP="00F1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базовых школах педагоги и руководители ищут и продолжают апробировать новые формы взаимодействия: второй год на базе МОУ «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Куюсская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проводят межшкольный конкурс «Учитель года – 2013».</w:t>
      </w:r>
    </w:p>
    <w:p w:rsidR="0094146C" w:rsidRPr="00144C8A" w:rsidRDefault="0094146C" w:rsidP="00F13D84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муниципальных общеобразовательных учреждениях разработаны и успешно реализуются Образовательные программы ресурсных центров (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школы) и стажерских площадок  (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)  ИПКРО РА, основной целью которых является создание условий роста педагогического мастерства и развития творческого потенциала учителей через внедрение инновационных педагогических технологий.</w:t>
      </w:r>
    </w:p>
    <w:p w:rsidR="00230607" w:rsidRPr="00230607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05331E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 2012 г.</w:t>
      </w:r>
      <w:r w:rsidR="00BB2F6F" w:rsidRP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Ресурсном  центре д</w:t>
      </w:r>
      <w:r w:rsidR="00C31D2F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учителей </w:t>
      </w:r>
      <w:r w:rsidR="00C31D2F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</w:t>
      </w:r>
      <w:r w:rsidR="00496E2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2F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слушателей курсов ИПКРО РА </w:t>
      </w:r>
      <w:r w:rsidR="00101B47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 уроки в 1-х классах  МОУ «</w:t>
      </w:r>
      <w:proofErr w:type="spellStart"/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D25D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</w:t>
      </w:r>
      <w:r w:rsidR="00D2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 </w:t>
      </w:r>
      <w:proofErr w:type="spellStart"/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Тургенекова</w:t>
      </w:r>
      <w:proofErr w:type="spellEnd"/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.А.), математик</w:t>
      </w:r>
      <w:r w:rsidR="00D25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616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Алженакова</w:t>
      </w:r>
      <w:proofErr w:type="spellEnd"/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.Б.), 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D25D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грамоте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616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DD358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Жданова О.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Н.) и в 4 </w:t>
      </w:r>
      <w:r w:rsidR="00DD35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D35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комплексному учебному курсу «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E616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Э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.В.)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</w:t>
      </w:r>
      <w:r w:rsid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работы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607" w:rsidRPr="00230607" w:rsidRDefault="00230607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-оценка учебных достижений, </w:t>
      </w:r>
      <w:r w:rsidR="003B2230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С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.И., </w:t>
      </w:r>
      <w:r w:rsidR="00CE616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230607" w:rsidRPr="00230607" w:rsidRDefault="00230607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-проектная деятельность младшего школьника,</w:t>
      </w:r>
      <w:r w:rsidR="00CE616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2230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3B2230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230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CE616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="003B223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230607" w:rsidRPr="00230607" w:rsidRDefault="00BB2F6F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6E2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рисутствовало 30 человек, в том числе 8 чел. –</w:t>
      </w:r>
      <w:r w:rsidR="00CE6160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E2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proofErr w:type="spellStart"/>
      <w:r w:rsidR="00496E2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="00496E2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33F51" w:rsidRPr="00144C8A" w:rsidRDefault="00501D12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 w:rsidR="00BB2F6F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2012 г.</w:t>
      </w:r>
      <w:r w:rsid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6F24F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тажерская площадка</w:t>
      </w:r>
      <w:r w:rsid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F77" w:rsidRPr="00144C8A" w:rsidRDefault="00833F51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331E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24FC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="006F24FC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учит</w:t>
      </w:r>
      <w:r w:rsidR="006F24F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физики МОУ «</w:t>
      </w:r>
      <w:proofErr w:type="spellStart"/>
      <w:r w:rsidR="006F24F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="006F24F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73019E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учителей физики  (12 чел.) </w:t>
      </w:r>
      <w:r w:rsidR="006F24F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</w:t>
      </w:r>
      <w:r w:rsidR="0073019E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</w:t>
      </w:r>
      <w:r w:rsidR="00BB1BF3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в 7 классе «Инерция»</w:t>
      </w:r>
      <w:r w:rsidR="0073019E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1BF3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</w:t>
      </w:r>
      <w:r w:rsidR="0073019E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ьную экскурсию «Природа Чемала», </w:t>
      </w:r>
      <w:r w:rsidR="00BB1BF3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работы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r w:rsidR="00230607" w:rsidRPr="0023060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</w:t>
      </w:r>
      <w:r w:rsidR="006F24FC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проектов на уроках физики»;</w:t>
      </w:r>
    </w:p>
    <w:p w:rsidR="00230607" w:rsidRPr="00144C8A" w:rsidRDefault="00833F51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-Ширяева Т.Г., </w:t>
      </w:r>
      <w:r w:rsidR="00262546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262546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открытый урок в 10 классе  «Решение </w:t>
      </w:r>
      <w:r w:rsidR="00496E2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</w:t>
      </w:r>
      <w:r w:rsidR="00262546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мастер  - класс по теме «Тест-программа как одна из форм оперативного контроля на уроках математики» для </w:t>
      </w:r>
      <w:r w:rsidR="00496E2B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математики - слушателей курсов ИПКРО</w:t>
      </w:r>
      <w:r w:rsidR="00262546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Присутствовало 12 человек.</w:t>
      </w:r>
    </w:p>
    <w:p w:rsidR="000809F4" w:rsidRDefault="0094146C" w:rsidP="0070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сетевого взаимодействия в решении конкретных образовательных проблем, </w:t>
      </w:r>
      <w:r w:rsidR="00257006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повышение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257006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образовательных учреждений, обновл</w:t>
      </w:r>
      <w:r w:rsidR="0029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</w:t>
      </w:r>
      <w:r w:rsidR="00257006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29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57006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</w:t>
      </w:r>
      <w:r w:rsidR="0029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 педагогами и педагогическими коллективами. </w:t>
      </w:r>
    </w:p>
    <w:p w:rsidR="005A7B69" w:rsidRPr="00144C8A" w:rsidRDefault="005A7B69" w:rsidP="0070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7A" w:rsidRPr="00FE477A" w:rsidRDefault="00FE477A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Результативность участия МО в  конкурсном движении различного уровня.</w:t>
      </w:r>
    </w:p>
    <w:p w:rsidR="00FE477A" w:rsidRDefault="00FE477A" w:rsidP="0070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2012 г. в  школах района прошла «Неделя педагогического мастерства»</w:t>
      </w:r>
      <w:proofErr w:type="gramStart"/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включающая конкурсы «Учитель года», «Самый классный «Классный», «Сердце отдаю детям», </w:t>
      </w:r>
      <w:r w:rsidR="00BC6E19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определившая</w:t>
      </w:r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муници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этапа этих конкурсов.</w:t>
      </w:r>
    </w:p>
    <w:p w:rsidR="005A7B69" w:rsidRPr="00FE477A" w:rsidRDefault="005A7B69" w:rsidP="00706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7A" w:rsidRPr="00FE477A" w:rsidRDefault="00FE477A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Результативность участия МО в  олимпиадном движении различного уровня.</w:t>
      </w:r>
    </w:p>
    <w:p w:rsidR="00FE477A" w:rsidRDefault="00FE477A" w:rsidP="00706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школьников разных уровней по учебным предметам проводится  с целью пропаганды научных знаний и развития интереса к научной деятельности, выявления одаренных обучающихся. В октябре  2012 г. прошел </w:t>
      </w:r>
      <w:r w:rsidRPr="00FE4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</w:t>
      </w:r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сероссийской олимпиады школьников. В нем приняло участие  </w:t>
      </w:r>
      <w:proofErr w:type="gramStart"/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>7-11 классов,  всего  612 человек.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329 обучающихся будут участвовать во в</w:t>
      </w:r>
      <w:r w:rsidR="00B20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06A5" w:rsidRPr="00B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6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06A5" w:rsidRPr="00FE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 школьников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B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</w:t>
      </w:r>
      <w:r w:rsidR="00B2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ноября по 5 декабря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</w:t>
      </w:r>
    </w:p>
    <w:p w:rsidR="00A460D9" w:rsidRPr="0070674D" w:rsidRDefault="00A460D9" w:rsidP="00706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III. Заключение</w:t>
      </w:r>
      <w:r w:rsidR="003B2230" w:rsidRPr="00144C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94146C" w:rsidRPr="00144C8A" w:rsidRDefault="0094146C" w:rsidP="00F13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3.1.Общие выводы.</w:t>
      </w:r>
    </w:p>
    <w:p w:rsidR="0094146C" w:rsidRPr="00144C8A" w:rsidRDefault="0094146C" w:rsidP="00F13D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методической работы  считать удовлетворительной.</w:t>
      </w:r>
    </w:p>
    <w:p w:rsidR="0094146C" w:rsidRPr="00144C8A" w:rsidRDefault="0094146C" w:rsidP="00F13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Проблемы.</w:t>
      </w:r>
    </w:p>
    <w:p w:rsidR="00A460D9" w:rsidRPr="00A460D9" w:rsidRDefault="0094146C" w:rsidP="00A460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ОУ не в полном объеме участвуют в профессиональных конкурсах по объективным и субъективным причинам.  Несмотря на проделанную работу качество образования в районе не стабильное:  2008-2009 уч.г.-38%, </w:t>
      </w:r>
      <w:r w:rsidR="0070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2009-2010 у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ч.г.-43,3%, </w:t>
      </w:r>
      <w:r w:rsidR="0070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2010-2011 уч.г.-37%, </w:t>
      </w:r>
      <w:r w:rsidR="0070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74B"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2011-2012 уч.г.-39,2 %.</w:t>
      </w:r>
    </w:p>
    <w:p w:rsidR="0094146C" w:rsidRPr="00144C8A" w:rsidRDefault="0094146C" w:rsidP="00F13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Предложения.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Продолжить работу по совершенствованию деятельности муниципальной методической службы.</w:t>
      </w: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7A" w:rsidRPr="00144C8A" w:rsidRDefault="00FE477A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6C" w:rsidRPr="00144C8A" w:rsidRDefault="0094146C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РМК        </w:t>
      </w:r>
      <w:r w:rsidR="0073019E"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М.Н.Айбыкова</w:t>
      </w:r>
      <w:proofErr w:type="spellEnd"/>
    </w:p>
    <w:p w:rsidR="0094146C" w:rsidRPr="00144C8A" w:rsidRDefault="0073019E" w:rsidP="00F1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F7E00" w:rsidRDefault="0041445D" w:rsidP="00F13D84">
      <w:pPr>
        <w:spacing w:after="0" w:line="240" w:lineRule="auto"/>
      </w:pPr>
      <w:r>
        <w:t>29</w:t>
      </w:r>
      <w:r w:rsidR="00A2339C">
        <w:t>.11.2012 г.</w:t>
      </w:r>
    </w:p>
    <w:sectPr w:rsidR="003F7E00" w:rsidSect="004F74E3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950"/>
    <w:multiLevelType w:val="hybridMultilevel"/>
    <w:tmpl w:val="7FB48EB0"/>
    <w:lvl w:ilvl="0" w:tplc="C4C428D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03234C7"/>
    <w:multiLevelType w:val="hybridMultilevel"/>
    <w:tmpl w:val="B88EC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C"/>
    <w:rsid w:val="00001AD8"/>
    <w:rsid w:val="000450D3"/>
    <w:rsid w:val="0005331E"/>
    <w:rsid w:val="000809F4"/>
    <w:rsid w:val="000F1CE6"/>
    <w:rsid w:val="00101B47"/>
    <w:rsid w:val="00133F77"/>
    <w:rsid w:val="00144C8A"/>
    <w:rsid w:val="00164B93"/>
    <w:rsid w:val="001F586B"/>
    <w:rsid w:val="00230607"/>
    <w:rsid w:val="00257006"/>
    <w:rsid w:val="00262546"/>
    <w:rsid w:val="002964AE"/>
    <w:rsid w:val="00312BEB"/>
    <w:rsid w:val="00331889"/>
    <w:rsid w:val="003A66C7"/>
    <w:rsid w:val="003B2230"/>
    <w:rsid w:val="003C16FC"/>
    <w:rsid w:val="003F7E00"/>
    <w:rsid w:val="0041445D"/>
    <w:rsid w:val="00417AE0"/>
    <w:rsid w:val="004901D8"/>
    <w:rsid w:val="00496E2B"/>
    <w:rsid w:val="004F1FFB"/>
    <w:rsid w:val="004F74E3"/>
    <w:rsid w:val="00501D12"/>
    <w:rsid w:val="00527EC5"/>
    <w:rsid w:val="00540185"/>
    <w:rsid w:val="005448EE"/>
    <w:rsid w:val="00554B6D"/>
    <w:rsid w:val="005A7B69"/>
    <w:rsid w:val="005C31C0"/>
    <w:rsid w:val="005C6471"/>
    <w:rsid w:val="005F1F3E"/>
    <w:rsid w:val="00663687"/>
    <w:rsid w:val="006F24FC"/>
    <w:rsid w:val="0070674D"/>
    <w:rsid w:val="00706785"/>
    <w:rsid w:val="0073019E"/>
    <w:rsid w:val="00750C17"/>
    <w:rsid w:val="007C2BFF"/>
    <w:rsid w:val="007F2EAF"/>
    <w:rsid w:val="00825294"/>
    <w:rsid w:val="00833F51"/>
    <w:rsid w:val="008700FF"/>
    <w:rsid w:val="0087551A"/>
    <w:rsid w:val="0088576A"/>
    <w:rsid w:val="008A0482"/>
    <w:rsid w:val="008F4A3A"/>
    <w:rsid w:val="00916F1C"/>
    <w:rsid w:val="0092188C"/>
    <w:rsid w:val="0094146C"/>
    <w:rsid w:val="00A2339C"/>
    <w:rsid w:val="00A460D9"/>
    <w:rsid w:val="00AB1E22"/>
    <w:rsid w:val="00B12593"/>
    <w:rsid w:val="00B206A5"/>
    <w:rsid w:val="00B9521F"/>
    <w:rsid w:val="00BB1BF3"/>
    <w:rsid w:val="00BB2F6F"/>
    <w:rsid w:val="00BC6E19"/>
    <w:rsid w:val="00BD7357"/>
    <w:rsid w:val="00BF0AAB"/>
    <w:rsid w:val="00C21AA0"/>
    <w:rsid w:val="00C31D2F"/>
    <w:rsid w:val="00C80314"/>
    <w:rsid w:val="00CD7F19"/>
    <w:rsid w:val="00CE6160"/>
    <w:rsid w:val="00D0695E"/>
    <w:rsid w:val="00D17A5F"/>
    <w:rsid w:val="00D25DFC"/>
    <w:rsid w:val="00D37FD9"/>
    <w:rsid w:val="00D9210E"/>
    <w:rsid w:val="00DB28E2"/>
    <w:rsid w:val="00DD3587"/>
    <w:rsid w:val="00DE0118"/>
    <w:rsid w:val="00E4274B"/>
    <w:rsid w:val="00EC4676"/>
    <w:rsid w:val="00F13D84"/>
    <w:rsid w:val="00FE477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2012-11-23T02:22:00Z</cp:lastPrinted>
  <dcterms:created xsi:type="dcterms:W3CDTF">2012-11-22T06:50:00Z</dcterms:created>
  <dcterms:modified xsi:type="dcterms:W3CDTF">2012-11-29T05:41:00Z</dcterms:modified>
</cp:coreProperties>
</file>